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258. “男士理容，精致进店”——男士理容（Barber、男士理发、护肤）消费行为研究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研究对象：去过Barber店/做男士护理的 18—40 岁男性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核心问题/变量：消费频次、价格接受（理发/护理）、服务体验、消费观念转变、复购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H1：消费频次、价格接受（理发/护理）显著影响复购（待验证）；H2：不同人群（年龄/收入/城市等级）在上述关系中存在调节作用（待验证）。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🔶男士理容市场增长（行业报告需核验）；✅"他经济"/男颜消费媒体讨论（需引原文）；✅美业数字化趋势（🔶）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Barber店/男士理容馆现场问卷；与205题（男颜经济）区分：聚焦实体理容服务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🔶男士理容市场增长（行业报告需核验）；✅"他经济"/男颜消费媒体讨论（需引原文）；✅美业数字化趋势（🔶）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