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259. “小众香氛，情绪气味”——香氛经济（香水、香薰、蜡烛）消费行为研究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研究对象：购买过香水/家居香薰/香氛蜡烛的消费者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核心问题/变量：消费场景（悦己/送礼/助眠）、价格带、品牌偏好（国产小众vs国际）、情绪关联、复购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H1：消费场景（悦己/送礼/助眠）、价格带显著影响复购（待验证）；H2：不同人群（年龄/收入/城市等级）在上述关系中存在调节作用（待验证）。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✅2026年中国香水香氛市场约53亿美元（约383.92亿元）、2028年有望440亿元、CAGR 14%（远超全球3.5%）；✅形态扩展至家居香薰/蜡烛/车载全品类；✅2026上半年香水出口25.02亿元（+31.05%）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香氛门店/小红书香氛用户渠道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✅2026年中国香水香氛市场约53亿美元（约383.92亿元）、2028年有望440亿元、CAGR 14%（远超全球3.5%）；✅形态扩展至家居香薰/蜡烛/车载全品类；✅2026上半年香水出口25.02亿元（+31.05%）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