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273. “轻医美，悄悄变美”——轻医美（光电、注射）消费动机与安全信任研究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确定行业：17_美妆服饰与珠宝（选择理由：贴合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研究对象：做过或考虑轻医美的 18—40 岁消费者（以女性为主）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核心问题/变量：消费动机（护肤/抗衰/拍照）、项目偏好、价格接受、机构选择、安全性顾虑、复购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H1：消费动机（护肤/抗衰/拍照）、项目偏好显著影响复购（待验证）；H2：不同人群（年龄/收入/城市等级）在上述关系中存在调节作用（待验证）。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✅2026年中国医美市场预计4500亿—5000亿元、非手术类占比过半、未来五年CAGR 12%—15%；✅非手术类消费人次预计5393万人次（+27.7%）；✅2026上半年医美机构净增仅100家（去年同期500家）、行业洗牌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医美机构/护肤社群渠道；与256题（美妆）区分：聚焦医疗级轻医美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✅2026年中国医美市场预计4500亿—5000亿元、非手术类占比过半、未来五年CAGR 12%—15%；✅非手术类消费人次预计5393万人次（+27.7%）；✅2026上半年医美机构净增仅100家（去年同期500家）、行业洗牌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