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612. “美妆小样经济，正装平替”——美妆小样、试用装消费研究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确定行业：17_美妆服饰与珠宝（选择理由：贴合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研究对象：购买美妆小样（片装/中样）的消费者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核心问题/变量：小样购买动机（试错/便携/低价）、真伪顾虑、多渠道（专柜礼赠/二手交易）、与正装对比、复购转化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H1：小样购买动机（试错/便携/低价）、真伪顾虑显著影响复购转化（待验证）；H2：不同人群（年龄/收入/城市等级）在上述关系中存在调节作用（待验证）。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🔶美妆小样市场报道（行业媒体须下载核验）；✅化妆品监督管理条例（药监局）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美妆社群问卷+渠道访谈；获奖黑名单核对：近三年无美妆小样获奖题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🔶美妆小样市场报道（行业媒体须下载核验）；✅化妆品监督管理条例（药监局）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