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661. “男士护肤，直男也精致”——男士护肤、美妆消费研究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研究阶段：mature（成熟期：满意度与优化研究）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确定行业：17_美妆服饰与珠宝（选择理由：贴合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研究对象：有护肤习惯的男性（18-40岁）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核心问题/变量：男颜消费动机（悦己/求职/社交）、品类偏好（洁面/防晒）、渠道（专柜/电商）、品牌性别营销接受度、消费信心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H1：男颜消费动机（悦己/求职/社交）、品类偏好（洁面/防晒）显著影响消费信心（待验证）；H2：不同人群（年龄/收入/城市等级）在上述关系中存在调节作用（待验证）。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🔶男士护肤市场数据（行业报告须下载核验）；✅男士理容产业政策导向（商务部）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男性社群问卷+美妆渠道访谈；获奖黑名单核对：近三年无男士护肤获奖题（区别于205男颜悦己）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🔶男士护肤市场数据（行业报告须下载核验）；✅男士理容产业政策导向（商务部）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