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714. “定制珠宝，情感首饰”——定制首饰（婚戒、生日、纪念）消费研究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研究对象：定制婚戒/纪念首饰（刻字/裸石定制）的消费者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核心问题/变量：定制动机（专属/仪式感）、定制流程体验、价格与预算、与品牌成品对比、设计沟通、情感价值留存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H1：定制动机（专属/仪式感）、定制流程体验显著影响情感价值留存（待验证）；H2：不同人群（年龄/收入/城市等级）在上述关系中存在调节作用（待验证）。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🔶定制珠宝市场报道（珠宝行业媒体须下载核验）；✅贵金属珠宝消费规范（市场监管总局）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珠宝定制工作室渠道问卷+设计师访谈；获奖黑名单核对：近三年无定制珠宝获奖题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🔶定制珠宝市场报道（珠宝行业媒体须下载核验）；✅贵金属珠宝消费规范（市场监管总局）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