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729. “旗袍定制，东方美学回归”——旗袍定制与中式服饰消费研究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研究对象：定制旗袍/新中式服饰的消费者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核心问题/变量：旗袍定制动机（婚礼/仪式/日常化）、定制流程（量体/面料/工期）、价格与工坊选择、新中式穿搭日常化、文化认同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H1：旗袍定制动机（婚礼/仪式/日常化）、定制流程（量体/面料/工期）显著影响文化认同（待验证）；H2：不同人群（年龄/收入/城市等级）在上述关系中存在调节作用（待验证）。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🔶新中式服饰市场数据（行业报告须下载核验）；✅国潮与文化消费政策（商务部）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旗袍工坊渠道问卷+设计师访谈；获奖黑名单核对：近三年无旗袍定制获奖题（区别于112汉服旅拍）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🔶新中式服饰市场数据（行业报告须下载核验）；✅国潮与文化消费政策（商务部）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