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752. “头皮护理，养发经济”——头皮护理、养发馆消费研究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研究对象：在养发馆/头皮护理机构消费的人群（防脱/白转黑）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核心问题/变量：头皮问题困扰（脱发/头屑）、养发馆项目与价格（防脱/护理）、效果信任与承诺话术、与植发衔接、复购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H1：头皮问题困扰（脱发/头屑）、养发馆项目与价格（防脱/护理）显著影响复购（待验证）；H2：不同人群（年龄/收入/城市等级）在上述关系中存在调节作用（待验证）。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🔶养发行业数据（行业报告须下载核验）；✅化妆品与育发类监管（药监局）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养发馆渠道问卷+从业者访谈；获奖黑名单核对：近三年无养发消费获奖题（区别于271医美植发？须复查）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🔶养发行业数据（行业报告须下载核验）；✅化妆品与育发类监管（药监局）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