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790. “美妆盲盒，惊喜还是惊吓”——美妆盲盒消费与惊喜营销研究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研究对象：购买过美妆盲盒（随机彩妆）的消费者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核心问题/变量：美妆盲盒购买动机（幸运/尝鲜）、随机性接受、产品价值与溢价感知、踩雷体验、监管（随机销售新规）、复购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H1：美妆盲盒购买动机（幸运/尝鲜）、随机性接受显著影响复购（待验证）；H2：不同人群（年龄/收入/城市等级）在上述关系中存在调节作用（待验证）。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🔶盲盒经营行为规范（市场监管总局）；🔶美妆盲盒市场数据（须下载核验）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美妆社群问卷+电商数据；获奖黑名单核对：近三年无美妆盲盒获奖题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🔶盲盒经营行为规范（市场监管总局）；🔶美妆盲盒市场数据（须下载核验）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