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838. “假发经济，脱发焦虑”——假发（织发、接发）消费与脱发市场研究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研究对象：购买假发/织发（含医用假发）的消费者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核心问题/变量：脱发焦虑与假发购买动机、真发vs化纤选择（价格千元-万元）、修剪维护成本、心理自信恢复、线上定制vs门店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H1：脱发焦虑与假发购买动机、真发vs化纤选择（价格千元-万元）显著影响线上定制vs门店（待验证）；H2：不同人群（年龄/收入/城市等级）在上述关系中存在调节作用（待验证）。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🔶假发出口与内需市场数据（行业协会须下载核验）；✅化妆品与美发制品监管（药监局）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假发门店渠道+消费者问卷；获奖黑名单核对：近三年无假发消费获奖题（区别于80智能睡眠等美发？无冲突）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🔶假发出口与内需市场数据（行业协会须下载核验）；✅化妆品与美发制品监管（药监局）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