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宋体" w:hAnsi="宋体" w:eastAsia="宋体"/>
          <w:b/>
          <w:color w:val="6663B2"/>
          <w:sz w:val="30"/>
        </w:rPr>
        <w:t>854. “口红一哥塌房后，美妆直播变局”——头部主播更替与美妆直播消费信任研究</w:t>
      </w:r>
    </w:p>
    <w:p>
      <w:pPr>
        <w:spacing w:after="200"/>
        <w:jc w:val="center"/>
      </w:pPr>
      <w:r>
        <w:rPr>
          <w:rFonts w:ascii="宋体" w:hAnsi="宋体" w:eastAsia="宋体"/>
          <w:b w:val="0"/>
          <w:color w:val="837292"/>
          <w:sz w:val="18"/>
        </w:rPr>
        <w:t>正大杯选题档案 · topic-selection 规范版（呆塔大师兄（微信：a237658765））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一、选题定位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项目类型：市场调查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研究阶段：mid（中期：消费意愿及影响因素）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建议地区：全国（可落地为任一代表性城市/县域，按当地资源细化抽样）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确定行业：17_美妆服饰与珠宝（选择理由：贴合 2025–2026 最新政策/市场/社会趋势，参考来源见下；该方向研究对象与样本渠道明确，可转为问卷/访谈设计，且近三年获奖名单无直接重复题。）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研究对象：购买美妆直播产品（经历主播更替）的消费者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核心问题/变量：头部主播塌房/停播影响、低价心智迁移（去头部化）、国货美妆接棒、店铺自播vs达人直播、信任变化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二、生成假设（待验证）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H1：头部主播塌房/停播影响、低价心智迁移（去头部化）显著影响信任变化（待验证）；H2：不同人群（年龄/收入/城市等级）在上述关系中存在调节作用（待验证）。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三、选题依据（信息时间范围：2025–2026）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🔶头部主播事件与行业影响报道（财经媒体须下载核验）；✅直播电商监管（市场监管总局）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四、可行性提示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美妆消费者问卷+电商平台数据；获奖黑名单核对：近三年无美妆直播格局获奖题 可进一步明确抽样框、样本量与问卷/访谈工具，形成完整调研方案。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五、参考来源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🔶头部主播事件与行业影响报道（财经媒体须下载核验）；✅直播电商监管（市场监管总局）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检索状态说明：本档案基于 2025–2026 公开政策、行业报告与媒体线索整理（降级模式，部分来源未逐条联网复核）；✅=官方/权威媒体可直接引用，🔶=行业报告/媒体线索，参赛前须下载原文核对。近三年获奖黑名单已逐题避重核验。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