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912. “敏感肌修护，屏障守护”——敏感肌护肤（修护屏障）消费研究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确定行业：17_美妆服饰与珠宝（选择理由：贴合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研究对象：敏感肌人群（干敏/油敏）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核心问题/变量：敏感肌困扰（泛红/刺痛）、修护产品（神经酰胺类）消费、功效宣称信任（检测报告）、成分党影响、换季复购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H1：敏感肌困扰（泛红/刺痛）、修护产品（神经酰胺类）消费显著影响换季复购（待验证）；H2：不同人群（年龄/收入/城市等级）在上述关系中存在调节作用（待验证）。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🔶敏感肌市场数据（行业报告须下载核验）；✅化妆品功效宣称管理（药监局）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美妆社群问卷+品牌研发访谈；获奖黑名单核对：近三年无敏感肌获奖题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🔶敏感肌市场数据（行业报告须下载核验）；✅化妆品功效宣称管理（药监局）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