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950. “男士理发店，barbershop文化”——男士理发馆（Barbershop）消费研究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研究对象：光顾男士理发馆/barbershop的男性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核心问题/变量：男士理发消费动机（形象/放松）、Barbershop体验（修面/推拿）、价格（高于普通理发）、预约制、忠诚度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H1：男士理发消费动机（形象/放松）、Barbershop体验（修面/推拿）显著影响忠诚度（待验证）；H2：不同人群（年龄/收入/城市等级）在上述关系中存在调节作用（待验证）。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🔶美发行业规范（商务部）；🔶男士理容市场数据（行业报告须下载核验）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理发馆实地问卷+店主访谈；获奖黑名单核对：近三年无Barbershop获奖题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🔶美发行业规范（商务部）；🔶男士理容市场数据（行业报告须下载核验）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