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966. “轻奢珠宝平替，人造宝石”——培育钻石（人造宝石）消费研究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研究对象：购买培育钻石/人造宝石饰品（求婚/日常）的消费者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核心问题/变量：培育钻石认知（真钻vs实验室）、价格优势（1/10）、消费场景（婚戒/悦己）、保值观念冲突、品牌推广、接受度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H1：培育钻石认知（真钻vs实验室）、价格优势（1/10）显著影响接受度（待验证）；H2：不同人群（年龄/收入/城市等级）在上述关系中存在调节作用（待验证）。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🔶培育钻石质量与标识规范（市场监管总局、国检）；🔶培育钻石市场数据（行业报告须下载核验）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珠宝渠道问卷+品牌访谈；获奖黑名单核对：近三年无培育钻石获奖题（区别于714定制珠宝）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🔶培育钻石质量与标识规范（市场监管总局、国检）；🔶培育钻石市场数据（行业报告须下载核验）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