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1022. “陪产假，爸爸去哪儿了”——男性陪产假落实与家庭育儿分担研究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项目类型：社会调查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研究阶段：early-mid（萌芽—成长期：需求与机会挖掘 + 意愿初探）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确定行业：18_母婴育儿与家庭（选择理由：贴合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研究对象：享受/缺失陪产假的新手爸爸与家庭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核心问题/变量：陪产假天数与落实率（国企/民企差异）、请假压力（单位态度）、陪产期间参与（照顾妻子/带娃）、育儿责任分担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陪产假天数与落实率（国企/民企差异）、请假压力（单位态度）（育儿责任分担）之间存在可检验的关系，且受群体差异（年龄/收入/地区/身份）调节（待验证）；H2：陪产假天数与落实率（国企/民企差异）、请假压力（单位态度）是影响育儿责任分担的关键因素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🔶生育支持政策与陪产假规定（各省条例）；🔶陪产假落实调查（须下载核验）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新手父母问卷+HR访谈；获奖黑名单核对：近三年无陪产假获奖题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🔶生育支持政策与陪产假规定（各省条例）；🔶陪产假落实调查（须下载核验）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