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1096. “儿童安全座椅立法，安全乘车”——儿童安全座椅强制使用（新规）认知研究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研究对象：有12岁以下儿童的家庭（试点强制性规定）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核心问题/变量：安全座椅使用率（新规后）、新规知晓（地方强制）、购买价位与认证、安装与孩子配合、替代（抱着坐车）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H1：安全座椅使用率（新规后）、新规知晓（地方强制）显著影响替代（抱着坐车）（待验证）；H2：不同人群（年龄/收入/城市等级）在上述关系中存在调节作用（待验证）。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🔶儿童安全座椅强制使用规定（公安部、地方条例）；🔶安全座椅使用率数据（须下载核验）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幼儿园渠道+交警/家长问卷；获奖黑名单核对：近三年无安全座椅新规获奖题（区别于623儿童安全座椅泛题，聚焦强制立法后）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🔶儿童安全座椅强制使用规定（公安部、地方条例）；🔶安全座椅使用率数据（须下载核验）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