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1362. “育儿假落地，爸爸带娃假”——育儿假（父母各10天）落实研究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研究对象：适用育儿假（3岁以下每年各10天）的父母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核心问题/变量：育儿假落实率（国企/民企）、请假阻力（工作安排）、育儿假用途（亲子陪伴）、与年假冲突、男性使用偏见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育儿假落实率（国企/民企）、请假阻力（工作安排）（男性使用偏见）之间存在可检验的关系，且受群体差异（年龄/收入/地区/身份）调节（待验证）；H2：育儿假落实率（国企/民企）、请假阻力（工作安排）是影响男性使用偏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🔶育儿假政策（国务院、各省人口条例）；🔶育儿假落实数据（须下载核验）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新手父母问卷+HR访谈；获奖黑名单核对：近三年无育儿假获奖题（区别于1022陪产假，聚焦3岁以下育儿假）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🔶育儿假政策（国务院、各省人口条例）；🔶育儿假落实数据（须下载核验）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