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1363. “儿童孤独症筛查，早发现早干预”——儿童孤独症（早期筛查、康复）家庭研究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确定行业：18_母婴育儿与家庭（选择理由：贴合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研究对象：孤独症儿童家庭（筛查/康复训练）及从业者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核心问题/变量：孤独症早筛（0-6岁筛查政策）、康复机构选择与费用（每月数千-万元）、干预效果（语言/社交）、家长心理负担、社会支持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孤独症早筛（0-6岁筛查政策）、康复机构选择与费用（每月数千-万元）（社会支持）之间存在可检验的关系，且受群体差异（年龄/收入/地区/身份）调节（待验证）；H2：孤独症早筛（0-6岁筛查政策）、康复机构选择与费用（每月数千-万元）是影响社会支持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🔶孤独症儿童关爱促进行动（中国残联、卫健委）；🔶孤独症服务数据（须下载核验）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康复机构渠道+家长问卷；获奖黑名单核对：近三年无孤独症康复获奖题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🔶孤独症儿童关爱促进行动（中国残联、卫健委）；🔶孤独症服务数据（须下载核验）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