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1364. “萌娃短视频，晒娃还是伤娃”——儿童短视频（晒娃账号）隐私研究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研究对象：为孩子开设短视频账号（晒娃）的家长与关注者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核心问题/变量：晒娃账号运营（记录/流量）、儿童隐私风险（人脸/学校信息）、网红儿童变现（广告）、网暴风险、未成年人保护意识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晒娃账号运营（记录/流量）、儿童隐私风险（人脸/学校信息）（未成年人保护意识）之间存在可检验的关系，且受群体差异（年龄/收入/地区/身份）调节（待验证）；H2：晒娃账号运营（记录/流量）、儿童隐私风险（人脸/学校信息）是影响未成年人保护意识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🔶未成年人网络保护条例（网信办）；🔶晒娃账号治理数据（须下载核验）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晒娃家长问卷+平台访谈；获奖黑名单核对：近三年无晒娃短视频获奖题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🔶未成年人网络保护条例（网信办）；🔶晒娃账号治理数据（须下载核验）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