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1367. “亲子共读营，21天阅读打卡”——亲子共读（打卡营）习惯养成研究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确定行业：18_母婴育儿与家庭（选择理由：贴合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研究对象：参加亲子共读打卡营/阅读计划的家庭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核心问题/变量：亲子共读打卡（21天计划）、阅读习惯养成（睡前故事）、打卡群激励（坚持力）、绘本消费、共读质量（讲读）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H1：亲子共读打卡（21天计划）、阅读习惯养成（睡前故事）显著影响共读质量（讲读）（待验证）；H2：不同人群（年龄/收入/城市等级）在上述关系中存在调节作用（待验证）。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🔶全民阅读与亲子阅读推广政策（中宣部、全国妇联）；🔶亲子阅读数据（须下载核验）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阅读营问卷+绘本馆访谈；获奖黑名单核对：近三年无亲子共读营获奖题（区别于1078分级阅读，聚焦打卡机制）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🔶全民阅读与亲子阅读推广政策（中宣部、全国妇联）；🔶亲子阅读数据（须下载核验）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