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1368. “母婴室建设，哺乳不尴尬”——公共场所母婴室（建设、使用）研究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确定行业：18_母婴育儿与家庭（选择理由：贴合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研究对象：使用公共场所母婴室（哺乳/换尿布）的妈妈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核心问题/变量：母婴室覆盖（商场/地铁/景区）、设施完善（尿布台/哺乳椅）、寻找难度（App地图）、被占用（吸烟）、体验满意度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母婴室覆盖（商场/地铁/景区）、设施完善（尿布台/哺乳椅）（体验满意度）之间存在可检验的关系，且受群体差异（年龄/收入/地区/身份）调节（待验证）；H2：母婴室覆盖（商场/地铁/景区）、设施完善（尿布台/哺乳椅）是影响体验满意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🔶母婴设施建设政策（卫健委、住建部、全国妇联）；🔶母婴室数据（须下载核验）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哺乳期妈妈问卷+妇联/商场访谈；获奖黑名单核对：近三年无母婴室获奖题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🔶母婴设施建设政策（卫健委、住建部、全国妇联）；🔶母婴室数据（须下载核验）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