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222. “月子中心，值不值”——月子中心消费意愿与选择因素研究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建议地区：西安（可按省/市细化抽样框）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确定行业：18_母婴育儿与家庭（选择理由：贴合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研究对象：孕期/产后家庭（2025—2026年生育）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核心问题/变量：选择因素（专业护理/环境/价格）、预算区间、信息渠道、满意度、避坑意识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H1：选择因素（专业护理/环境/价格）、预算区间显著影响避坑意识（待验证）；H2：不同人群（年龄/收入/城市等级）在上述关系中存在调节作用（待验证）。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✅月子中心2026年预计突破1000亿元（2019年约300亿）；✅西安商业化月子中心选择率2021年8.3%→2024年27.6%、3万元以上中高端年增速38.2%；✅行业痛点：37.2%强制推销/隐形加价、41.8%护理处置能力不足（调查🔶）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母婴医院/月子中心/孕妈社群渠道；与83题（托育）区分：聚焦产后护理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✅月子中心2026年预计突破1000亿元（2019年约300亿）；✅西安商业化月子中心选择率2021年8.3%→2024年27.6%、3万元以上中高端年增速38.2%；✅行业痛点：37.2%强制推销/隐形加价、41.8%护理处置能力不足（调查🔶）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