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223. “产后修复，妈妈新消费”——产后修复（盆底、腹直肌、康复）服务需求研究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研究对象：产后女性（6个月—2年）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核心问题/变量：产后困扰、修复服务知晓、机构选择（医院vs美容院）、价格接受、效果评价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H1：产后困扰、修复服务知晓（效果评价）之间存在可检验的关系，且受群体差异（年龄/收入/地区/身份）调节（待验证）；H2：产后困扰、修复服务知晓是影响效果评价的关键因素（待验证）。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🔶产后修复市场规模（行业报告需核验）；✅母婴行业8.58万亿元大盘（2026年预计）；✅国家卫健委产后康复服务规范（政策背景🔶）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产科门诊/产后修复机构/孕妈社群渠道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🔶产后修复市场规模（行业报告需核验）；✅母婴行业8.58万亿元大盘（2026年预计）；✅国家卫健委产后康复服务规范（政策背景🔶）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