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265. “亲子阅读，成长陪伴”——亲子阅读、绘本馆消费需求研究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研究对象：0—8岁孩子家长（有亲子阅读习惯）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核心问题/变量：阅读频次、绘本购买/借阅、绘本馆/图书馆参与、智能阅读工具接受、消费支出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H1：阅读频次、绘本购买/借阅显著影响消费支出（待验证）；H2：不同人群（年龄/收入/城市等级）在上述关系中存在调节作用（待验证）。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🔶亲子阅读市场规模（行业报告需核验）；✅全民阅读推广政策背景；✅母婴8.58万亿大盘（2026年，第八轮证据）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绘本馆/幼儿园渠道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🔶亲子阅读市场规模（行业报告需核验）；✅全民阅读推广政策背景；✅母婴8.58万亿大盘（2026年，第八轮证据）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