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280. “宝贝周岁宴，仪式感消费”——宝宝宴、满月周岁庆典消费需求研究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研究对象：办过或准备办宝宝宴/百日宴/周岁宴的家庭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核心问题/变量：办宴动机（仪式感/人情/记录）、策划与场地消费、预算、流程定制、满意度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H1：办宴动机（仪式感/人情/记录）、策划与场地消费显著影响满意度（待验证）；H2：不同人群（年龄/收入/城市等级）在上述关系中存在调节作用（待验证）。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🔶宝宝宴定制服务兴起（媒体）；✅母婴行业8.58万亿元大盘（2026年）；✅"仪式感消费"趋势（情绪经济背景）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宴会策划机构/母婴社群渠道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🔶宝宝宴定制服务兴起（媒体）；✅母婴行业8.58万亿元大盘（2026年）；✅"仪式感消费"趋势（情绪经济背景）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