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305. “小天才手表，娃的社交圈”——儿童智能手表消费与家长管控平衡研究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确定行业：18_母婴育儿与家庭（选择理由：贴合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研究对象：给孩子佩戴智能手表的家长（6—12岁为主）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核心问题/变量：购买动机（定位安全/通话/社交）、功能使用（微聊/支付/拍照）、沉迷担忧、管控设置、复购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H1：购买动机（定位安全/通话/社交）、功能使用（微聊/支付/拍照）显著影响复购（待验证）；H2：不同人群（年龄/收入/城市等级）在上述关系中存在调节作用（待验证）。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🔶儿童智能手表出货量（IDC/Counterpoint数据需下载）；✅儿童手表社交功能争议（媒体热议"儿童的微信"）；✅未成年人网络保护背景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手表品牌店/小学家长群渠道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🔶儿童智能手表出货量（IDC/Counterpoint数据需下载）；✅儿童手表社交功能争议（媒体热议"儿童的微信"）；✅未成年人网络保护背景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