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385. “单亲家庭的育儿账单”——单亲家庭育儿消费与支持需求研究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研究对象：单亲家长（含离异/丧偶/未婚生育）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核心问题/变量：育儿支出结构、经济压力、育儿支持（家人/机构/社群）、政策帮扶知晓、心理负担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H1：育儿支出结构、经济压力（心理负担）之间存在可检验的关系，且受群体差异（年龄/收入/地区/身份）调节（待验证）；H2：育儿支出结构、经济压力是影响心理负担的关键因素（待验证）。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🔶单亲家庭规模（学术估算需核验）；✅托育教育支持政策（"十四五"托育规划）；✅离婚冷静期后家庭结构变化（媒体背景）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单亲育儿社群线上问卷；视角新颖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🔶单亲家庭规模（学术估算需核验）；✅托育教育支持政策（"十四五"托育规划）；✅离婚冷静期后家庭结构变化（媒体背景）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