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417. “一米高度看城市”——儿童友好城市空间（乐园、设施、出行）建设需求研究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研究对象：带娃家庭（0—12岁儿童家长）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核心问题/变量：儿童公共空间评价（公园/商超/地铁）、安全与便利、儿童参与意识、建设建议、满意度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儿童公共空间评价（公园/商超/地铁）、安全与便利（满意度）之间存在可检验的关系，且受群体差异（年龄/收入/地区/身份）调节（待验证）；H2：儿童公共空间评价（公园/商超/地铁）、安全与便利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✅《城市儿童友好空间建设导则》/儿童友好城市试点（发改委/住建部政策背景）；🔶儿童友好城市试点城市名单（媒体）；✅生育友好型社会（本批366-370衔接）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社区亲子群+儿童活动空间现场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✅《城市儿童友好空间建设导则》/儿童友好城市试点（发改委/住建部政策背景）；🔶儿童友好城市试点城市名单（媒体）；✅生育友好型社会（本批366-370衔接）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