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476. “隔代养育，消费谁说了算”——三代家庭消费决策（隔代育儿影响）研究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研究对象：与父母同住/隔代带娃的三代家庭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核心问题/变量：育儿消费决策（谁定）、代际观念冲突（早教/零食/电子产品）、消费折中方式、家庭关系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H1：育儿消费决策（谁定）、代际观念冲突（早教/零食/电子产品）显著影响家庭关系（待验证）；H2：不同人群（年龄/收入/城市等级）在上述关系中存在调节作用（待验证）。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🔶隔代养育研究（学术调查需核验）；✅母婴8.58万亿（第八轮证据）；✅家庭决策理论应用（学术）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社区亲子群+幼儿园渠道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🔶隔代养育研究（学术调查需核验）；✅母婴8.58万亿（第八轮证据）；✅家庭决策理论应用（学术）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