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478. “爸爸带娃，父职参与”——新一代父亲育儿参与与父职消费研究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研究对象：参加过亲子研学的 4—14 岁儿童家长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核心问题/变量：研学主题、价格（单次几百-几千）、教育获得感、机构选择（独立/学校）、频率与复报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研学主题、价格（单次几百-几千）（频率与复报）之间存在可检验的关系，且受群体差异（年龄/收入/地区/身份）调节（待验证）；H2：研学主题、价格（单次几百-几千）是影响频率与复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🔶研学市场规模（研学旅行协会数据需核验）；✅研学游2亿人次（已核验）；✅非遗研学/农事研学兴起（已核验）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研学机构/学校渠道；与37题（研学游）区分：聚焦亲子细分与评价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🔶研学市场规模（研学旅行协会数据需核验）；✅研学游2亿人次（已核验）；✅非遗研学/农事研学兴起（已核验）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