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664. “亲子餐厅，带娃新社交”——亲子餐厅、儿童友好餐厅消费研究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研究对象：带娃去亲子餐厅/儿童友好餐厅的家庭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核心问题/变量：亲子餐厅选择动机（解放双手/社交/出片）、人均消费、儿童餐健康、游乐与餐饮平衡、安全卫生、复访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H1：亲子餐厅选择动机（解放双手/社交/出片）、人均消费显著影响复访（待验证）；H2：不同人群（年龄/收入/城市等级）在上述关系中存在调节作用（待验证）。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🔶亲子餐厅业态报道（餐饮媒体须下载核验）；✅儿童友好城市建设政策（国家发改委）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亲子餐厅实地问卷+经营者访谈；获奖黑名单核对：近三年无亲子餐厅获奖题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🔶亲子餐厅业态报道（餐饮媒体须下载核验）；✅儿童友好城市建设政策（国家发改委）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