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683. “亲子游泳课，婴儿的水上乐园”——婴儿、亲子游泳消费研究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研究对象：带0-6岁孩子上亲子游泳课的家庭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核心问题/变量：亲子游泳报课动机（健康/早教）、课程价格与课时、水质安全信任、师资与效果、续课留存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亲子游泳报课动机（健康/早教）、课程价格与课时（续课留存）之间存在可检验的关系，且受群体差异（年龄/收入/地区/身份）调节（待验证）；H2：亲子游泳报课动机（健康/早教）、课程价格与课时是影响续课留存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🔶亲子游泳市场数据（行业报告须下载核验）；✅婴幼儿照护政策（卫健委）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亲子游泳机构渠道问卷+教练访谈；获奖黑名单核对：近三年无亲子游泳获奖题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🔶亲子游泳市场数据（行业报告须下载核验）；✅婴幼儿照护政策（卫健委）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