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726. “高端月子会所，值这个价吗”——高端月子会所消费决策研究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研究对象：入住/考察月子会所（中高端）的产妇家庭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核心问题/变量：会所选择（护理比/环境/离家近）、价格区间（5-20万）、护理专业信任、月子餐与服务、二胎复购、满意度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H1：会所选择（护理比/环境/离家近）、价格区间（5-20万）显著影响满意度（待验证）；H2：不同人群（年龄/收入/城市等级）在上述关系中存在调节作用（待验证）。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🔶月子会所行业报告（行业报告须下载核验）；✅月子服务机构规范（地方标准）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月子会所渠道问卷+经营者访谈；获奖黑名单核对：近三年无月子会所获奖题（区别于222月子中心泛题）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🔶月子会所行业报告（行业报告须下载核验）；✅月子服务机构规范（地方标准）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