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777. “母婴室建设，带娃出门难”——公共场所母婴室配置与使用满意度研究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研究对象：带婴幼儿外出的妈妈/家庭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核心问题/变量：母婴室需求场景（商场/车站/景区）、配置可及性、设施卫生（尿布台/哺乳区）、查找便利（地图标注）、满意度与建议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母婴室需求场景（商场/车站/景区）、配置可及性（满意度与建议）之间存在可检验的关系，且受群体差异（年龄/收入/地区/身份）调节（待验证）；H2：母婴室需求场景（商场/车站/景区）、配置可及性是影响满意度与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✅公共场所母婴室配置政策（卫健委、住建部）；🔶母婴室评估报告（须下载核验）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妈妈社群问卷+市场监管部门访谈；获奖黑名单核对：近三年无母婴室获奖题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✅公共场所母婴室配置政策（卫健委、住建部）；🔶母婴室评估报告（须下载核验）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