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810. “蒙氏早教，理念消费”——蒙氏、瑞吉欧等理念早教机构消费研究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研究对象：为孩子报理念型早教（蒙氏/瑞吉欧/自然教育）的家长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核心问题/变量：理念早教选择动机（尊重孩子/理念认同）、学费（万元级）、理念落地感知（教具/混龄）、与普通早教对比、效果焦虑、续费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念早教选择动机（尊重孩子/理念认同）、学费（万元级）（续费）之间存在可检验的关系，且受群体差异（年龄/收入/地区/身份）调节（待验证）；H2：理念早教选择动机（尊重孩子/理念认同）、学费（万元级）是影响续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🔶早教行业监管与定价政策（教育部、市场监管总局）；🔶早教市场数据（行业报告须下载核验）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早教机构渠道+家长问卷；获奖黑名单核对：近三年无蒙氏早教获奖题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🔶早教行业监管与定价政策（教育部、市场监管总局）；🔶早教市场数据（行业报告须下载核验）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