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083. “托育无忧，普惠到家”——0—3岁婴幼儿托育服务需求与政策满意度研究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研究对象：0—3岁婴幼儿家长（有托育需求或已入托）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核心问题/变量：托育需求、选择因素、价格承受力、政策感知、满意度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H1：托育需求、选择因素（满意度）之间存在可检验的关系，且受群体差异（年龄/收入/地区/身份）调节（待验证）；H2：托育需求、选择因素是影响满意度的关键因素（待验证）。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2025年底全国托育机构12.6万家、托位数666万个、千人口托位数4.73个（新华网）；✅国家卫健委等七部门《关于加快推进普惠托育服务体系建设的意见》（国卫人口发〔2025〕6号）；🔶2025年托育市场规模1621.3亿元（+6.8%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妇幼保健机构/托育机构/母婴社群渠道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2025年底全国托育机构12.6万家、托位数666万个、千人口托位数4.73个（新华网）；✅国家卫健委等七部门《关于加快推进普惠托育服务体系建设的意见》（国卫人口发〔2025〕6号）；🔶2025年托育市场规模1621.3亿元（+6.8%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