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867. “婴儿游泳抚触，水育早教”——婴儿游泳（水育）馆消费研究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确定行业：18_母婴育儿与家庭（选择理由：贴合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研究对象：带婴儿（0-3岁）上游泳/水育课的家长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核心问题/变量：婴儿游泳报课动机（感统/睡眠）、门店卫生与水质信任、单次/课时费用、溺水风险关注、效果感知、续课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H1：婴儿游泳报课动机（感统/睡眠）、门店卫生与水质信任显著影响续课（待验证）；H2：不同人群（年龄/收入/城市等级）在上述关系中存在调节作用（待验证）。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🔶婴儿游泳馆卫生监管（卫健委、市场监管总局）；🔶水育市场数据（行业报告须下载核验）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水育馆渠道+家长问卷；获奖黑名单核对：近三年无婴儿游泳获奖题（区别于683亲子游泳，聚焦0-3岁水育）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🔶婴儿游泳馆卫生监管（卫健委、市场监管总局）；🔶水育市场数据（行业报告须下载核验）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