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086. “三孩时代，养育成本”——家庭育儿消费结构与三孩生育意愿研究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确定行业：18_母婴育儿与家庭（选择理由：贴合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研究对象：已婚育龄人群（有0—12岁子女）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核心问题/变量：育儿支出结构（教育/医疗/日常）、支出压力感知、生育意愿、政策支持感知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育儿支出结构（教育/医疗/日常）、支出压力感知（政策支持感知）之间存在可检验的关系，且受群体差异（年龄/收入/地区/身份）调节（待验证）；H2：育儿支出结构（教育/医疗/日常）、支出压力感知是影响政策支持感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✅三孩政策配套支持体系持续推进（国家卫生健康委）；✅普惠托育服务体系建设意见（国卫人口发〔2025〕6号）；🔶育儿成本占比数据待核验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母婴社群/学校家长群渠道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✅三孩政策配套支持体系持续推进（国家卫生健康委）；✅普惠托育服务体系建设意见（国卫人口发〔2025〕6号）；🔶育儿成本占比数据待核验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