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1003. “脑机接口，意念打字”——脑机接口（BCI）技术公众认知与医疗应用研究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研究对象：关注脑机接口（医疗/康复场景）的公众、患者家庭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核心问题/变量：脑机接口认知（意念控制假肢/打字）、临床前景信任、伦理顾虑（读取思维）、启用意愿、国产化感知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脑机接口认知（意念控制假肢/打字）、临床前景信任（国产化感知）之间存在可检验的关系，且受群体差异（年龄/收入/地区/身份）调节（待验证）；H2：脑机接口认知（意念控制假肢/打字）、临床前景信任是影响国产化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🔶脑机接口临床与产业政策（工信部、卫健委）；🔶脑机接口试验报道（须下载核验）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公众问卷+脑机企业/医院访谈；获奖黑名单核对：近三年无脑机接口获奖题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🔶脑机接口临床与产业政策（工信部、卫健委）；🔶脑机接口试验报道（须下载核验）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