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1004. “商业航天，火箭回收”——商业航天（可回收火箭）产业与公众科普消费研究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研究对象：关注商业航天（火箭发射、卫星互联网）的公众与航天爱好者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核心问题/变量：商业航天认知（发射直播/观礼）、卫星互联网（手机直连、宽带上网）使用意愿、航天科普研学消费、火箭回收感知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商业航天认知（发射直播/观礼）、卫星互联网（手机直连（火箭回收感知）之间存在可检验的关系，且受群体差异（年龄/收入/地区/身份）调节（待验证）；H2：商业航天认知（发射直播/观礼）、卫星互联网（手机直连是影响火箭回收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🔶商业航天发展政策（发改委、国防科工局）；🔶商业航天发射数据（须下载核验）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航天爱好者社群问卷+航天企业/研学机构访谈；获奖黑名单核对：近三年无商业航天获奖题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🔶商业航天发展政策（发改委、国防科工局）；🔶商业航天发射数据（须下载核验）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