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101. “数字永生，记忆延续”——AI 数字分身、纪念类服务接受度与伦理认知研究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研究对象：了解或接触过 AI 数字分身/逝者复原服务的 18—50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核心问题/变量：认知度、情感诉求（思念/疗愈）、伦理顾虑（隐私/真假边界）、付费意愿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H1：认知度、情感诉求（思念/疗愈）显著影响付费意愿（待验证）；H2：不同人群（年龄/收入/城市等级）在上述关系中存在调节作用（待验证）。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🔶AI"数字永生"/数字分身服务商业化案例（媒体报道，需引具体公司案例）；🔶Replika等AI伴侣研究文献可支撑情感连接理论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生死教育/殡葬行业访谈+线上问卷；伦理争议话题自带讨论度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🔶AI"数字永生"/数字分身服务商业化案例（媒体报道，需引具体公司案例）；🔶Replika等AI伴侣研究文献可支撑情感连接理论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