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010. “新质生产，谁来买单”——中小企业对智能制造服务的采购意愿及影响因素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研究对象：制造业中小企业负责人和技术负责人。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核心问题/变量：数字化基础、投资回报预期、技术供应商信任、人才缺口、采购意愿。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H1：数字化基础、投资回报预期（采购意愿。）之间存在可检验的关系，且受群体差异（年龄/收入/地区/身份）调节（待验证）；H2：数字化基础、投资回报预期是影响采购意愿。的关键因素（待验证）。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S4，[中国政府网最新政策](https://www.gov.cn/zhengce/zuixin/)，其中列有新质生产力相关政策。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工业园区、产业园和商会调查。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S4，[中国政府网最新政策](https://www.gov.cn/zhengce/zuixin/)，其中列有新质生产力相关政策。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