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116. “数字斋戒，无手机日”——青年数字戒断（息屏、无手机日）意愿与心理收益研究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研究对象：参与过或有意愿尝试数字戒断（无手机日/息屏）的 18—35 岁青年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核心问题/变量：手机依赖度、戒断动机、体验后心理收益（专注/睡眠/社交）、复戒断意愿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H1：手机依赖度、戒断动机（复戒断意愿）之间存在可检验的关系，且受群体差异（年龄/收入/地区/身份）调节（待验证）；H2：手机依赖度、戒断动机是影响复戒断意愿的关键因素（待验证）。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✅教育部鼓励"息屏行动"（2025年政策重申）；🔶"数字斋戒"/无手机日全球风潮（媒体报道+学术研究）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高校/职场青年渠道+正念类社群；可结合Screen Time数据自评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✅教育部鼓励"息屏行动"（2025年政策重申）；🔶"数字斋戒"/无手机日全球风潮（媒体报道+学术研究）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