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1172. “AI 防诈卫士，拦截电诈”——AI反诈（智能拦截、预警）技术应用研究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研究对象：被AI反诈系统（来电预警/转账拦截）保护的公众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核心问题/变量：AI反诈功能（智能识别/预警电话）、拦截经历、被骗风险人群（老人）、96110/反诈App使用、技术信任、宣传效果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反诈功能（智能识别/预警电话）、拦截经历（宣传效果）之间存在可检验的关系，且受群体差异（年龄/收入/地区/身份）调节（待验证）；H2：AI反诈功能（智能识别/预警电话）、拦截经历是影响宣传效果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🔶反诈法与AI反诈应用政策（公安部、网信办）；🔶反诈拦截数据（须下载核验）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公众问卷+反诈中心访谈；获奖黑名单核对：近三年无AI反诈获奖题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🔶反诈法与AI反诈应用政策（公安部、网信办）；🔶反诈拦截数据（须下载核验）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