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1176. “AI 企业出海，中国大模型出海”——中国AI大模型出海（海外市场）研究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研究对象：使用中国AI产品（海外）的用户与出海AI企业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核心问题/变量：中国大模型出海（DeepSeek/豆包海外版）、海外用户增长、本地化（多语言）、数据合规（GDPR）、国际竞争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H1：中国大模型出海（DeepSeek/豆包海外版）、海外用户增长显著影响国际竞争（待验证）；H2：不同人群（年龄/收入/城市等级）在上述关系中存在调节作用（待验证）。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🔶AI企业出海支持政策（工信部、网信办）；🔶AI产品海外数据（行业报告须下载核验）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海外用户问卷+AI企业访谈；获奖黑名单核对：近三年无AI出海获奖题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🔶AI企业出海支持政策（工信部、网信办）；🔶AI产品海外数据（行业报告须下载核验）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