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1177. “AI 照片骗局，视频通话验真”——AI合成视频诈骗（数字身份）防范研究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研究对象：遭遇/防范AI合成视频（换脸视频通话）诈骗的公众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核心问题/变量：AI诈骗新手段（视频通话换脸/声音克隆）、识别能力（眨眼/细节）、诈骗金额、防骗措施（暗号/多通道验证）、平台责任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诈骗新手段（视频通话换脸/声音克隆）、识别能力（眨眼/细节）（平台责任）之间存在可检验的关系，且受群体差异（年龄/收入/地区/身份）调节（待验证）；H2：AI诈骗新手段（视频通话换脸/声音克隆）、识别能力（眨眼/细节）是影响平台责任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🔶深度伪造治理与反诈规定（公安部、网信办）；🔶AI诈骗案例数据（须下载核验）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公众问卷+公安反诈访谈；获奖黑名单核对：近三年无AI视频诈骗获奖题（区别于901 AI换脸治理，聚焦诈骗场景与验证手段）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🔶深度伪造治理与反诈规定（公安部、网信办）；🔶AI诈骗案例数据（须下载核验）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