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1391. “AI 求职简历，润色还是失真”——AI简历优化（求职工具）使用研究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研究对象：使用AI工具优化简历/模拟面试的求职者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核心问题/变量：AI简历优化（措辞/匹配关键词）、AI模拟面试（练习）、简历夸大风险（HR反感）、使用率与效果、工具付费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H1：AI简历优化（措辞/匹配关键词）、AI模拟面试（练习）显著影响工具付费（待验证）；H2：不同人群（年龄/收入/城市等级）在上述关系中存在调节作用（待验证）。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🔶就业服务数字化政策（人社部）；🔶AI求职工具数据（须下载核验）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求职者问卷+HR/平台访谈；获奖黑名单核对：近三年无AI简历工具获奖题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🔶就业服务数字化政策（人社部）；🔶AI求职工具数据（须下载核验）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