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1394. “AI 舆情监控，品牌口碑雷达”——AI舆情监控（企业服务）使用研究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研究对象：使用AI舆情监控工具（品牌口碑/危机预警）的企业公关与运营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核心问题/变量：AI舆情监控（情绪分析/预警）、负面舆情处置、竞品监测、订阅费用、准确性（误报）、中小企业采用率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H1：AI舆情监控（情绪分析/预警）、负面舆情处置显著影响中小企业采用率（待验证）；H2：不同人群（年龄/收入/城市等级）在上述关系中存在调节作用（待验证）。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🔶网络舆情与数据合规（网信办）；🔶舆情服务市场数据（须下载核验）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企业用户问卷+舆情服务商访谈；获奖黑名单核对：近三年无AI舆情监控获奖题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🔶网络舆情与数据合规（网信办）；🔶舆情服务市场数据（须下载核验）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