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1395. “AI 合规审查，数字法务官”——AI法律、合规审查（企业法务）应用研究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研究对象：使用AI法律工具（合同审阅/合规检查）的企业法务与律所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核心问题/变量：AI合同审查（风险条款）、合规检查（新法速查）、效率提升与替代（初级律师）、准确性（幻觉风险）、律师态度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合同审查（风险条款）、合规检查（新法速查）（律师态度）之间存在可检验的关系，且受群体差异（年龄/收入/地区/身份）调节（待验证）；H2：AI合同审查（风险条款）、合规检查（新法速查）是影响律师态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🔶法律科技与AI司法应用政策（最高法、司法部）；🔶法律AI市场数据（须下载核验）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法务/律所问卷+法律科技企业访谈；获奖黑名单核对：近三年无AI法律科技获奖题（区别于267 AI律所泛题，聚焦合同合规细分）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🔶法律科技与AI司法应用政策（最高法、司法部）；🔶法律AI市场数据（须下载核验）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