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020. “内容生成，安全先行”——公众对 AI 生成内容标识与真实性判断的认知研究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研究对象：18—45 岁网络内容消费者。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内容识别能力、平台信任、标识接受度、虚假信息担忧、分享意愿。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内容识别能力、平台信任显著影响分享意愿。（待验证）；H2：不同人群（年龄/收入/城市等级）在上述关系中存在调节作用（待验证）。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S7，2026 年互联网及 AI 大模型内容风控研究报告。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使用图片、短视频或新闻标题进行情景实验。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S7，2026 年互联网及 AI 大模型内容风控研究报告。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